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32694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March 05, 2021                                                                                                                      No. 417/2021</w:t>
      </w:r>
    </w:p>
    <w:p w:rsidR="00570F5D"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AA4734"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minutes generation: </w:t>
      </w:r>
      <w:r w:rsidR="00201307">
        <w:rPr>
          <w:rtl w:val="0"/>
          <w:lang w:val="en"/>
        </w:rPr>
        <w:t>March 09, 2021.</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201307" w:rsidRPr="00201307" w:rsidP="00201307">
      <w:pPr>
        <w:pStyle w:val="BodyTextIndent2"/>
        <w:numPr>
          <w:ilvl w:val="0"/>
          <w:numId w:val="29"/>
        </w:numPr>
        <w:tabs>
          <w:tab w:val="left" w:pos="1134"/>
        </w:tabs>
        <w:bidi w:val="0"/>
        <w:spacing w:after="0" w:line="240" w:lineRule="auto"/>
        <w:ind w:left="0" w:firstLine="567"/>
        <w:jc w:val="both"/>
        <w:rPr>
          <w:bCs/>
          <w:i/>
        </w:rPr>
      </w:pPr>
      <w:r w:rsidRPr="00C65732">
        <w:rPr>
          <w:bCs/>
          <w:i/>
          <w:rtl w:val="0"/>
          <w:lang w:val="en"/>
        </w:rPr>
        <w:t>On consideration of proposals of the Company's shareholders on introduction of issues into the agenda of the Annual General Meeting of the Company's shareholders and on nomination of candidates to the Company's management and control bodies.</w:t>
      </w:r>
    </w:p>
    <w:p w:rsidR="00201307" w:rsidRPr="00201307"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C65732">
        <w:rPr>
          <w:rFonts w:ascii="Times New Roman" w:hAnsi="Times New Roman"/>
          <w:bCs/>
          <w:i/>
          <w:sz w:val="24"/>
          <w:szCs w:val="24"/>
          <w:rtl w:val="0"/>
          <w:lang w:val="en"/>
        </w:rPr>
        <w:t>"On determining the date of the Company's Board of Directors' meeting to consider issues related to the preparation for the Annual General Meeting of the Company's Shareholder".</w:t>
      </w:r>
    </w:p>
    <w:p w:rsidR="00AC275A" w:rsidP="00F5533C">
      <w:pPr>
        <w:widowControl w:val="0"/>
        <w:tabs>
          <w:tab w:val="left" w:pos="993"/>
          <w:tab w:val="left" w:pos="1134"/>
        </w:tabs>
        <w:autoSpaceDE w:val="0"/>
        <w:autoSpaceDN w:val="0"/>
        <w:adjustRightInd w:val="0"/>
        <w:ind w:firstLine="567"/>
        <w:jc w:val="center"/>
        <w:rPr>
          <w:i/>
        </w:rPr>
      </w:pPr>
    </w:p>
    <w:p w:rsidR="000F5F95" w:rsidRPr="00AA4734" w:rsidP="00F5533C">
      <w:pPr>
        <w:widowControl w:val="0"/>
        <w:tabs>
          <w:tab w:val="left" w:pos="993"/>
          <w:tab w:val="left" w:pos="1134"/>
        </w:tabs>
        <w:autoSpaceDE w:val="0"/>
        <w:autoSpaceDN w:val="0"/>
        <w:adjustRightInd w:val="0"/>
        <w:ind w:firstLine="567"/>
        <w:jc w:val="center"/>
        <w:rPr>
          <w:i/>
        </w:rPr>
      </w:pPr>
    </w:p>
    <w:p w:rsidR="00201307" w:rsidRPr="006D3D8E" w:rsidP="00201307">
      <w:pPr>
        <w:bidi w:val="0"/>
        <w:jc w:val="both"/>
        <w:rPr>
          <w:b/>
          <w:color w:val="000000"/>
        </w:rPr>
      </w:pPr>
      <w:r w:rsidRPr="006D3D8E">
        <w:rPr>
          <w:b/>
          <w:caps/>
          <w:rtl w:val="0"/>
          <w:lang w:val="en"/>
        </w:rPr>
        <w:t>Item No. 1:</w:t>
      </w:r>
      <w:r w:rsidRPr="0073181B" w:rsidR="003B2E33">
        <w:rPr>
          <w:b/>
          <w:bCs/>
          <w:rtl w:val="0"/>
          <w:lang w:val="en"/>
        </w:rPr>
        <w:t xml:space="preserve"> On consideration of proposals of the Company's shareholders on introduction of issues into the agenda of the Annual General Meeting of the Company's shareholders and on nomination of candidates to the Company's management and control bodies.</w:t>
      </w:r>
    </w:p>
    <w:p w:rsidR="00201307" w:rsidRPr="006D3D8E" w:rsidP="00201307">
      <w:pPr>
        <w:bidi w:val="0"/>
        <w:jc w:val="both"/>
        <w:rPr>
          <w:b/>
        </w:rPr>
      </w:pPr>
      <w:r w:rsidRPr="006D3D8E">
        <w:rPr>
          <w:b/>
          <w:rtl w:val="0"/>
          <w:lang w:val="en"/>
        </w:rPr>
        <w:t>RESOLUTION:</w:t>
      </w:r>
    </w:p>
    <w:p w:rsidR="003B2E33" w:rsidRPr="0073181B" w:rsidP="003B2E33">
      <w:pPr>
        <w:bidi w:val="0"/>
        <w:ind w:firstLine="709"/>
        <w:jc w:val="both"/>
      </w:pPr>
      <w:r w:rsidRPr="0073181B">
        <w:rPr>
          <w:rtl w:val="0"/>
          <w:lang w:val="en"/>
        </w:rPr>
        <w:t>1. Enter the following candidates into the list of candidates for election to the Company's Board of Directors: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2835"/>
        <w:gridCol w:w="2551"/>
        <w:gridCol w:w="1701"/>
      </w:tblGrid>
      <w:tr w:rsidTr="00837157">
        <w:tblPrEx>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67" w:type="dxa"/>
            <w:vAlign w:val="center"/>
          </w:tcPr>
          <w:p w:rsidR="003B2E33" w:rsidRPr="0073181B" w:rsidP="000C1D9C">
            <w:pPr>
              <w:widowControl w:val="0"/>
              <w:tabs>
                <w:tab w:val="left" w:pos="1134"/>
              </w:tabs>
              <w:jc w:val="center"/>
              <w:rPr>
                <w:b/>
                <w:sz w:val="22"/>
                <w:szCs w:val="22"/>
              </w:rPr>
            </w:pPr>
          </w:p>
          <w:p w:rsidR="003B2E33" w:rsidRPr="0073181B" w:rsidP="000C1D9C">
            <w:pPr>
              <w:widowControl w:val="0"/>
              <w:tabs>
                <w:tab w:val="left" w:pos="1134"/>
              </w:tabs>
              <w:bidi w:val="0"/>
              <w:jc w:val="center"/>
              <w:rPr>
                <w:b/>
                <w:sz w:val="22"/>
                <w:szCs w:val="22"/>
              </w:rPr>
            </w:pPr>
            <w:r w:rsidRPr="0073181B">
              <w:rPr>
                <w:b/>
                <w:sz w:val="22"/>
                <w:szCs w:val="22"/>
                <w:rtl w:val="0"/>
                <w:lang w:val="en"/>
              </w:rPr>
              <w:t>No.</w:t>
            </w:r>
          </w:p>
        </w:tc>
        <w:tc>
          <w:tcPr>
            <w:tcW w:w="2127" w:type="dxa"/>
            <w:vAlign w:val="center"/>
          </w:tcPr>
          <w:p w:rsidR="003B2E33" w:rsidRPr="0073181B" w:rsidP="000C1D9C">
            <w:pPr>
              <w:widowControl w:val="0"/>
              <w:tabs>
                <w:tab w:val="left" w:pos="1134"/>
              </w:tabs>
              <w:bidi w:val="0"/>
              <w:jc w:val="center"/>
              <w:rPr>
                <w:b/>
                <w:sz w:val="22"/>
                <w:szCs w:val="22"/>
              </w:rPr>
            </w:pPr>
            <w:r w:rsidRPr="0073181B">
              <w:rPr>
                <w:b/>
                <w:sz w:val="22"/>
                <w:szCs w:val="22"/>
                <w:rtl w:val="0"/>
                <w:lang w:val="en"/>
              </w:rPr>
              <w:t>The candidate proposed by a shareholder(s) for entering into the list for voting on elections to the Company's Board of Directors</w:t>
            </w:r>
          </w:p>
        </w:tc>
        <w:tc>
          <w:tcPr>
            <w:tcW w:w="2835" w:type="dxa"/>
            <w:vAlign w:val="center"/>
          </w:tcPr>
          <w:p w:rsidR="003B2E33" w:rsidRPr="0073181B" w:rsidP="000C1D9C">
            <w:pPr>
              <w:widowControl w:val="0"/>
              <w:tabs>
                <w:tab w:val="left" w:pos="1134"/>
              </w:tabs>
              <w:bidi w:val="0"/>
              <w:jc w:val="center"/>
              <w:rPr>
                <w:b/>
                <w:sz w:val="22"/>
                <w:szCs w:val="22"/>
              </w:rPr>
            </w:pPr>
            <w:r w:rsidRPr="0073181B">
              <w:rPr>
                <w:b/>
                <w:sz w:val="22"/>
                <w:szCs w:val="22"/>
                <w:rtl w:val="0"/>
                <w:lang w:val="en"/>
              </w:rPr>
              <w:t>Title and place of employment of the candidate</w:t>
            </w:r>
          </w:p>
          <w:p w:rsidR="003B2E33" w:rsidRPr="0073181B" w:rsidP="000C1D9C">
            <w:pPr>
              <w:widowControl w:val="0"/>
              <w:tabs>
                <w:tab w:val="left" w:pos="1134"/>
              </w:tabs>
              <w:bidi w:val="0"/>
              <w:jc w:val="center"/>
              <w:rPr>
                <w:b/>
                <w:sz w:val="22"/>
                <w:szCs w:val="22"/>
              </w:rPr>
            </w:pPr>
            <w:r w:rsidRPr="0073181B">
              <w:rPr>
                <w:b/>
                <w:sz w:val="22"/>
                <w:szCs w:val="22"/>
                <w:rtl w:val="0"/>
                <w:lang w:val="en"/>
              </w:rPr>
              <w:t>proposed</w:t>
            </w:r>
          </w:p>
          <w:p w:rsidR="003B2E33" w:rsidRPr="0073181B" w:rsidP="000C1D9C">
            <w:pPr>
              <w:widowControl w:val="0"/>
              <w:tabs>
                <w:tab w:val="left" w:pos="1134"/>
              </w:tabs>
              <w:bidi w:val="0"/>
              <w:jc w:val="center"/>
              <w:rPr>
                <w:b/>
                <w:sz w:val="22"/>
                <w:szCs w:val="22"/>
              </w:rPr>
            </w:pPr>
            <w:r w:rsidRPr="0073181B">
              <w:rPr>
                <w:b/>
                <w:sz w:val="22"/>
                <w:szCs w:val="22"/>
                <w:rtl w:val="0"/>
                <w:lang w:val="en"/>
              </w:rPr>
              <w:t>proposed by a shareholder(s) for entering into the list for voting on elections to the Company's Board of Directors</w:t>
            </w:r>
          </w:p>
        </w:tc>
        <w:tc>
          <w:tcPr>
            <w:tcW w:w="2551" w:type="dxa"/>
            <w:vAlign w:val="center"/>
          </w:tcPr>
          <w:p w:rsidR="003B2E33" w:rsidRPr="0073181B" w:rsidP="000C1D9C">
            <w:pPr>
              <w:widowControl w:val="0"/>
              <w:tabs>
                <w:tab w:val="left" w:pos="1134"/>
              </w:tabs>
              <w:bidi w:val="0"/>
              <w:jc w:val="center"/>
              <w:rPr>
                <w:b/>
                <w:sz w:val="22"/>
                <w:szCs w:val="22"/>
              </w:rPr>
            </w:pPr>
            <w:r w:rsidRPr="0073181B">
              <w:rPr>
                <w:b/>
                <w:sz w:val="22"/>
                <w:szCs w:val="22"/>
                <w:rtl w:val="0"/>
                <w:lang w:val="en"/>
              </w:rPr>
              <w:t xml:space="preserve">Full name / </w:t>
            </w:r>
          </w:p>
          <w:p w:rsidR="003B2E33" w:rsidRPr="0073181B" w:rsidP="000C1D9C">
            <w:pPr>
              <w:widowControl w:val="0"/>
              <w:tabs>
                <w:tab w:val="left" w:pos="1134"/>
              </w:tabs>
              <w:bidi w:val="0"/>
              <w:jc w:val="center"/>
              <w:rPr>
                <w:b/>
                <w:sz w:val="22"/>
                <w:szCs w:val="22"/>
              </w:rPr>
            </w:pPr>
            <w:r w:rsidRPr="0073181B">
              <w:rPr>
                <w:b/>
                <w:sz w:val="22"/>
                <w:szCs w:val="22"/>
                <w:rtl w:val="0"/>
                <w:lang w:val="en"/>
              </w:rPr>
              <w:t>name of the shareholder(s) who proposed the candidate to be entered into the list for voting on elections to the Company's Board of Directors</w:t>
            </w:r>
          </w:p>
        </w:tc>
        <w:tc>
          <w:tcPr>
            <w:tcW w:w="1701" w:type="dxa"/>
            <w:vAlign w:val="center"/>
          </w:tcPr>
          <w:p w:rsidR="003B2E33" w:rsidRPr="0073181B" w:rsidP="000C1D9C">
            <w:pPr>
              <w:widowControl w:val="0"/>
              <w:tabs>
                <w:tab w:val="left" w:pos="1134"/>
              </w:tabs>
              <w:bidi w:val="0"/>
              <w:jc w:val="center"/>
              <w:rPr>
                <w:b/>
                <w:sz w:val="22"/>
                <w:szCs w:val="22"/>
              </w:rPr>
            </w:pPr>
            <w:r w:rsidRPr="0073181B">
              <w:rPr>
                <w:b/>
                <w:sz w:val="22"/>
                <w:szCs w:val="22"/>
                <w:rtl w:val="0"/>
                <w:lang w:val="en"/>
              </w:rPr>
              <w:t>Number of voting shares of the Company owned by shareholder(s) (in percent)</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Vitaliy Yuryevich Zarkhin</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Currently unemployed</w:t>
            </w:r>
          </w:p>
        </w:tc>
        <w:tc>
          <w:tcPr>
            <w:tcW w:w="2551" w:type="dxa"/>
            <w:vAlign w:val="center"/>
          </w:tcPr>
          <w:p w:rsidR="003B2E33" w:rsidRPr="0073181B" w:rsidP="000C1D9C">
            <w:pPr>
              <w:widowControl w:val="0"/>
              <w:tabs>
                <w:tab w:val="left" w:pos="1134"/>
              </w:tabs>
              <w:bidi w:val="0"/>
              <w:jc w:val="center"/>
              <w:rPr>
                <w:bCs/>
                <w:sz w:val="22"/>
                <w:szCs w:val="22"/>
                <w:lang w:val="en-US"/>
              </w:rPr>
            </w:pPr>
            <w:r w:rsidRPr="0073181B">
              <w:rPr>
                <w:sz w:val="22"/>
                <w:szCs w:val="22"/>
                <w:rtl w:val="0"/>
                <w:lang w:val="en"/>
              </w:rPr>
              <w:t>The Russian Prosperity Fund</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3.51</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P="000C1D9C">
            <w:pPr>
              <w:widowControl w:val="0"/>
              <w:tabs>
                <w:tab w:val="left" w:pos="1134"/>
              </w:tabs>
              <w:bidi w:val="0"/>
              <w:jc w:val="center"/>
              <w:rPr>
                <w:bCs/>
                <w:sz w:val="22"/>
                <w:szCs w:val="22"/>
              </w:rPr>
            </w:pPr>
            <w:r w:rsidRPr="0073181B">
              <w:rPr>
                <w:bCs/>
                <w:sz w:val="22"/>
                <w:szCs w:val="22"/>
                <w:rtl w:val="0"/>
                <w:lang w:val="en"/>
              </w:rPr>
              <w:t xml:space="preserve">Morozov </w:t>
            </w:r>
          </w:p>
          <w:p w:rsidR="003B2E33" w:rsidRPr="0073181B" w:rsidP="000C1D9C">
            <w:pPr>
              <w:widowControl w:val="0"/>
              <w:tabs>
                <w:tab w:val="left" w:pos="1134"/>
              </w:tabs>
              <w:bidi w:val="0"/>
              <w:jc w:val="center"/>
              <w:rPr>
                <w:bCs/>
                <w:sz w:val="22"/>
                <w:szCs w:val="22"/>
              </w:rPr>
            </w:pPr>
            <w:r w:rsidRPr="0073181B">
              <w:rPr>
                <w:bCs/>
                <w:sz w:val="22"/>
                <w:szCs w:val="22"/>
                <w:rtl w:val="0"/>
                <w:lang w:val="en"/>
              </w:rPr>
              <w:t>Andrey Vladimirovich</w:t>
            </w:r>
          </w:p>
        </w:tc>
        <w:tc>
          <w:tcPr>
            <w:tcW w:w="2835" w:type="dxa"/>
            <w:vAlign w:val="center"/>
          </w:tcPr>
          <w:p w:rsidR="003B2E33" w:rsidRPr="0073181B" w:rsidP="000C1D9C">
            <w:pPr>
              <w:widowControl w:val="0"/>
              <w:tabs>
                <w:tab w:val="left" w:pos="1134"/>
              </w:tabs>
              <w:bidi w:val="0"/>
              <w:jc w:val="center"/>
              <w:rPr>
                <w:bCs/>
                <w:sz w:val="22"/>
                <w:szCs w:val="22"/>
              </w:rPr>
            </w:pPr>
            <w:r w:rsidRPr="0073181B">
              <w:rPr>
                <w:bCs/>
                <w:sz w:val="22"/>
                <w:szCs w:val="22"/>
                <w:rtl w:val="0"/>
                <w:lang w:val="en"/>
              </w:rPr>
              <w:t>Legal Director of the Association of Professional Investors</w:t>
            </w:r>
          </w:p>
        </w:tc>
        <w:tc>
          <w:tcPr>
            <w:tcW w:w="2551" w:type="dxa"/>
            <w:vAlign w:val="center"/>
          </w:tcPr>
          <w:p w:rsidR="003B2E33" w:rsidRPr="0073181B" w:rsidP="000C1D9C">
            <w:pPr>
              <w:widowControl w:val="0"/>
              <w:tabs>
                <w:tab w:val="left" w:pos="1134"/>
              </w:tabs>
              <w:bidi w:val="0"/>
              <w:jc w:val="center"/>
              <w:rPr>
                <w:bCs/>
                <w:sz w:val="22"/>
                <w:szCs w:val="22"/>
                <w:lang w:val="en-US"/>
              </w:rPr>
            </w:pPr>
            <w:r w:rsidRPr="0073181B">
              <w:rPr>
                <w:sz w:val="22"/>
                <w:szCs w:val="22"/>
                <w:rtl w:val="0"/>
                <w:lang w:val="en"/>
              </w:rPr>
              <w:t>The Russian Prosperity Fund</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3.51</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bCs/>
                <w:sz w:val="22"/>
                <w:szCs w:val="22"/>
              </w:rPr>
            </w:pPr>
            <w:r w:rsidRPr="0073181B">
              <w:rPr>
                <w:bCs/>
                <w:sz w:val="22"/>
                <w:szCs w:val="22"/>
                <w:rtl w:val="0"/>
                <w:lang w:val="en"/>
              </w:rPr>
              <w:t>Fedorov Oleg Romanovich</w:t>
            </w:r>
          </w:p>
        </w:tc>
        <w:tc>
          <w:tcPr>
            <w:tcW w:w="2835" w:type="dxa"/>
            <w:vAlign w:val="center"/>
          </w:tcPr>
          <w:p w:rsidR="003B2E33" w:rsidRPr="0073181B" w:rsidP="000C1D9C">
            <w:pPr>
              <w:widowControl w:val="0"/>
              <w:tabs>
                <w:tab w:val="left" w:pos="1134"/>
              </w:tabs>
              <w:bidi w:val="0"/>
              <w:jc w:val="center"/>
              <w:rPr>
                <w:bCs/>
                <w:sz w:val="22"/>
                <w:szCs w:val="22"/>
              </w:rPr>
            </w:pPr>
            <w:r w:rsidRPr="0073181B">
              <w:rPr>
                <w:bCs/>
                <w:sz w:val="22"/>
                <w:szCs w:val="22"/>
                <w:rtl w:val="0"/>
                <w:lang w:val="en"/>
              </w:rPr>
              <w:t>Member of the Board of Directors of IDGC of the South PJSC</w:t>
            </w:r>
          </w:p>
        </w:tc>
        <w:tc>
          <w:tcPr>
            <w:tcW w:w="2551" w:type="dxa"/>
            <w:vAlign w:val="center"/>
          </w:tcPr>
          <w:p w:rsidR="003B2E33" w:rsidRPr="0073181B" w:rsidP="000C1D9C">
            <w:pPr>
              <w:widowControl w:val="0"/>
              <w:tabs>
                <w:tab w:val="left" w:pos="1134"/>
              </w:tabs>
              <w:bidi w:val="0"/>
              <w:jc w:val="center"/>
              <w:rPr>
                <w:bCs/>
                <w:sz w:val="22"/>
                <w:szCs w:val="22"/>
                <w:lang w:val="en-US"/>
              </w:rPr>
            </w:pPr>
            <w:r w:rsidRPr="0073181B">
              <w:rPr>
                <w:sz w:val="22"/>
                <w:szCs w:val="22"/>
                <w:rtl w:val="0"/>
                <w:lang w:val="en"/>
              </w:rPr>
              <w:t>The Russian Prosperity Fund</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3.51</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bCs/>
                <w:sz w:val="22"/>
                <w:szCs w:val="22"/>
              </w:rPr>
            </w:pPr>
            <w:r w:rsidRPr="0073181B">
              <w:rPr>
                <w:bCs/>
                <w:sz w:val="22"/>
                <w:szCs w:val="22"/>
                <w:rtl w:val="0"/>
                <w:lang w:val="en"/>
              </w:rPr>
              <w:t>Rozhkov Vasily Vladimirovich</w:t>
            </w:r>
          </w:p>
        </w:tc>
        <w:tc>
          <w:tcPr>
            <w:tcW w:w="2835" w:type="dxa"/>
            <w:vAlign w:val="center"/>
          </w:tcPr>
          <w:p w:rsidR="003B2E33" w:rsidRPr="0073181B" w:rsidP="000C1D9C">
            <w:pPr>
              <w:widowControl w:val="0"/>
              <w:tabs>
                <w:tab w:val="left" w:pos="1134"/>
              </w:tabs>
              <w:bidi w:val="0"/>
              <w:jc w:val="center"/>
              <w:rPr>
                <w:sz w:val="22"/>
                <w:szCs w:val="22"/>
              </w:rPr>
            </w:pPr>
            <w:r w:rsidRPr="0073181B">
              <w:rPr>
                <w:bCs/>
                <w:sz w:val="22"/>
                <w:szCs w:val="22"/>
                <w:rtl w:val="0"/>
                <w:lang w:val="en"/>
              </w:rPr>
              <w:t>Deputy Principal Engineer of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Ozhegina Natalya Klimentievna</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Deputy Director General for Human Resources,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Alexey Valerievich Molsky</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 xml:space="preserve">Deputy Director General for Investment, Capital Construction and Services, PJSC Rosseti </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 xml:space="preserve">Maria Gennadievna Tikhonova </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Deputy General Director for Corporate Governance of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Daniil Vladimirovich Krainskiy</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Deputy Director General for Legal support of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Egor Vyacheslavovich Prokhorov</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Deputy Director General for Strategy,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Konstantin Aleksandrovich Mikhailik</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Deputy General Director for Digital Transformation,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Alexey Alexandrovich Polinov</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Adviser Director General of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Vladislav Albertovich Kapitonov</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Corporate Finance Director, PJSC Rosseti</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Boris Borisovich Ebzeev</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General Director, Rosseti South PJSC</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r w:rsidTr="00837157">
        <w:tblPrEx>
          <w:tblW w:w="9781" w:type="dxa"/>
          <w:tblInd w:w="-5" w:type="dxa"/>
          <w:tblLayout w:type="fixed"/>
          <w:tblLook w:val="0000"/>
        </w:tblPrEx>
        <w:trPr>
          <w:cantSplit/>
        </w:trPr>
        <w:tc>
          <w:tcPr>
            <w:tcW w:w="567" w:type="dxa"/>
            <w:vAlign w:val="center"/>
          </w:tcPr>
          <w:p w:rsidR="003B2E33" w:rsidRPr="0073181B" w:rsidP="003B2E33">
            <w:pPr>
              <w:widowControl w:val="0"/>
              <w:numPr>
                <w:ilvl w:val="0"/>
                <w:numId w:val="30"/>
              </w:numPr>
              <w:tabs>
                <w:tab w:val="left" w:pos="1134"/>
              </w:tabs>
              <w:ind w:left="0" w:firstLine="0"/>
              <w:jc w:val="center"/>
              <w:rPr>
                <w:sz w:val="22"/>
                <w:szCs w:val="22"/>
              </w:rPr>
            </w:pPr>
          </w:p>
        </w:tc>
        <w:tc>
          <w:tcPr>
            <w:tcW w:w="2127"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Maria Vyacheslavna Korotkova</w:t>
            </w:r>
          </w:p>
        </w:tc>
        <w:tc>
          <w:tcPr>
            <w:tcW w:w="2835"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Director for Development, “Tekhinnovatsiya” LLC</w:t>
            </w:r>
          </w:p>
        </w:tc>
        <w:tc>
          <w:tcPr>
            <w:tcW w:w="255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PJSC Rosseti</w:t>
            </w:r>
          </w:p>
        </w:tc>
        <w:tc>
          <w:tcPr>
            <w:tcW w:w="1701" w:type="dxa"/>
            <w:vAlign w:val="center"/>
          </w:tcPr>
          <w:p w:rsidR="003B2E33" w:rsidRPr="0073181B" w:rsidP="000C1D9C">
            <w:pPr>
              <w:widowControl w:val="0"/>
              <w:tabs>
                <w:tab w:val="left" w:pos="1134"/>
              </w:tabs>
              <w:bidi w:val="0"/>
              <w:jc w:val="center"/>
              <w:rPr>
                <w:sz w:val="22"/>
                <w:szCs w:val="22"/>
              </w:rPr>
            </w:pPr>
            <w:r w:rsidRPr="0073181B">
              <w:rPr>
                <w:sz w:val="22"/>
                <w:szCs w:val="22"/>
                <w:rtl w:val="0"/>
                <w:lang w:val="en"/>
              </w:rPr>
              <w:t>84.12</w:t>
            </w:r>
          </w:p>
        </w:tc>
      </w:tr>
    </w:tbl>
    <w:p w:rsidR="003B2E33" w:rsidRPr="0073181B" w:rsidP="003B2E33">
      <w:pPr>
        <w:ind w:firstLine="709"/>
        <w:jc w:val="both"/>
      </w:pPr>
    </w:p>
    <w:p w:rsidR="003B2E33" w:rsidRPr="0073181B" w:rsidP="003B2E33">
      <w:pPr>
        <w:bidi w:val="0"/>
        <w:ind w:firstLine="709"/>
        <w:jc w:val="both"/>
      </w:pPr>
      <w:r w:rsidRPr="0073181B">
        <w:rPr>
          <w:rtl w:val="0"/>
          <w:lang w:val="en"/>
        </w:rPr>
        <w:t>2. Enter the following candidates into the list of candidates for election to the Internal Audit Commission of Rosseti South PJSC: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2977"/>
        <w:gridCol w:w="2410"/>
        <w:gridCol w:w="1559"/>
      </w:tblGrid>
      <w:tr w:rsidTr="000C1D9C">
        <w:tblPrEx>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67" w:type="dxa"/>
            <w:vAlign w:val="center"/>
          </w:tcPr>
          <w:p w:rsidR="003B2E33" w:rsidRPr="0073181B" w:rsidP="000C1D9C">
            <w:pPr>
              <w:bidi w:val="0"/>
              <w:jc w:val="center"/>
              <w:rPr>
                <w:b/>
                <w:sz w:val="22"/>
                <w:szCs w:val="22"/>
              </w:rPr>
            </w:pPr>
            <w:r w:rsidRPr="0073181B">
              <w:rPr>
                <w:b/>
                <w:sz w:val="22"/>
                <w:szCs w:val="22"/>
                <w:rtl w:val="0"/>
                <w:lang w:val="en"/>
              </w:rPr>
              <w:t>Seq. No.</w:t>
            </w:r>
          </w:p>
        </w:tc>
        <w:tc>
          <w:tcPr>
            <w:tcW w:w="2268" w:type="dxa"/>
            <w:vAlign w:val="center"/>
          </w:tcPr>
          <w:p w:rsidR="003B2E33" w:rsidRPr="0073181B" w:rsidP="000C1D9C">
            <w:pPr>
              <w:bidi w:val="0"/>
              <w:jc w:val="center"/>
              <w:rPr>
                <w:b/>
                <w:sz w:val="22"/>
                <w:szCs w:val="22"/>
              </w:rPr>
            </w:pPr>
            <w:r w:rsidRPr="0073181B">
              <w:rPr>
                <w:b/>
                <w:sz w:val="22"/>
                <w:szCs w:val="22"/>
                <w:rtl w:val="0"/>
                <w:lang w:val="en"/>
              </w:rPr>
              <w:t>Candidate proposed by shareholder(s) for enetering into the list for voting on elections to the Internal Audit Commission of the Company</w:t>
            </w:r>
          </w:p>
        </w:tc>
        <w:tc>
          <w:tcPr>
            <w:tcW w:w="2977" w:type="dxa"/>
            <w:vAlign w:val="center"/>
          </w:tcPr>
          <w:p w:rsidR="003B2E33" w:rsidRPr="0073181B" w:rsidP="000C1D9C">
            <w:pPr>
              <w:bidi w:val="0"/>
              <w:jc w:val="center"/>
              <w:rPr>
                <w:b/>
                <w:sz w:val="22"/>
                <w:szCs w:val="22"/>
              </w:rPr>
            </w:pPr>
            <w:r w:rsidRPr="0073181B">
              <w:rPr>
                <w:b/>
                <w:sz w:val="22"/>
                <w:szCs w:val="22"/>
                <w:rtl w:val="0"/>
                <w:lang w:val="en"/>
              </w:rPr>
              <w:t>Position, work place of the candidate proposed by shareholder(s) for inclusion in the list for voting on elections to the Internal Audit Commission of the Company</w:t>
            </w:r>
          </w:p>
        </w:tc>
        <w:tc>
          <w:tcPr>
            <w:tcW w:w="2410" w:type="dxa"/>
            <w:vAlign w:val="center"/>
          </w:tcPr>
          <w:p w:rsidR="003B2E33" w:rsidRPr="0073181B" w:rsidP="000C1D9C">
            <w:pPr>
              <w:bidi w:val="0"/>
              <w:jc w:val="center"/>
              <w:rPr>
                <w:b/>
                <w:sz w:val="22"/>
                <w:szCs w:val="22"/>
              </w:rPr>
            </w:pPr>
            <w:r w:rsidRPr="0073181B">
              <w:rPr>
                <w:b/>
                <w:sz w:val="22"/>
                <w:szCs w:val="22"/>
                <w:rtl w:val="0"/>
                <w:lang w:val="en"/>
              </w:rPr>
              <w:t>Full name / name of shareholder(s) who proposed a candidate for inclusion in the list for election to the Internal Audit Commission of the Company</w:t>
            </w:r>
          </w:p>
        </w:tc>
        <w:tc>
          <w:tcPr>
            <w:tcW w:w="1559" w:type="dxa"/>
            <w:vAlign w:val="center"/>
          </w:tcPr>
          <w:p w:rsidR="003B2E33" w:rsidRPr="0073181B" w:rsidP="000C1D9C">
            <w:pPr>
              <w:bidi w:val="0"/>
              <w:jc w:val="center"/>
              <w:rPr>
                <w:b/>
                <w:sz w:val="22"/>
                <w:szCs w:val="22"/>
              </w:rPr>
            </w:pPr>
            <w:r w:rsidRPr="0073181B">
              <w:rPr>
                <w:b/>
                <w:sz w:val="22"/>
                <w:szCs w:val="22"/>
                <w:rtl w:val="0"/>
                <w:lang w:val="en"/>
              </w:rPr>
              <w:t>Number of voting shares of the Company owned by shareholder(s) (in percent)</w:t>
            </w:r>
          </w:p>
        </w:tc>
      </w:tr>
      <w:tr w:rsidTr="000C1D9C">
        <w:tblPrEx>
          <w:tblW w:w="9781" w:type="dxa"/>
          <w:tblInd w:w="-5" w:type="dxa"/>
          <w:tblLayout w:type="fixed"/>
          <w:tblLook w:val="0000"/>
        </w:tblPrEx>
        <w:trPr>
          <w:trHeight w:val="267"/>
        </w:trPr>
        <w:tc>
          <w:tcPr>
            <w:tcW w:w="567" w:type="dxa"/>
            <w:vAlign w:val="center"/>
          </w:tcPr>
          <w:p w:rsidR="003B2E33" w:rsidRPr="0073181B" w:rsidP="003B2E33">
            <w:pPr>
              <w:numPr>
                <w:ilvl w:val="0"/>
                <w:numId w:val="31"/>
              </w:numPr>
              <w:ind w:left="0" w:firstLine="0"/>
              <w:jc w:val="center"/>
              <w:rPr>
                <w:bCs/>
                <w:sz w:val="22"/>
                <w:szCs w:val="22"/>
              </w:rPr>
            </w:pPr>
          </w:p>
          <w:p w:rsidR="003B2E33" w:rsidRPr="0073181B" w:rsidP="000C1D9C">
            <w:pPr>
              <w:jc w:val="center"/>
              <w:rPr>
                <w:bCs/>
                <w:sz w:val="22"/>
                <w:szCs w:val="22"/>
              </w:rPr>
            </w:pPr>
          </w:p>
        </w:tc>
        <w:tc>
          <w:tcPr>
            <w:tcW w:w="2268" w:type="dxa"/>
            <w:vAlign w:val="center"/>
          </w:tcPr>
          <w:p w:rsidR="003B2E33" w:rsidRPr="0073181B" w:rsidP="000C1D9C">
            <w:pPr>
              <w:bidi w:val="0"/>
              <w:jc w:val="center"/>
              <w:rPr>
                <w:sz w:val="22"/>
                <w:szCs w:val="22"/>
              </w:rPr>
            </w:pPr>
            <w:r w:rsidRPr="0073181B">
              <w:rPr>
                <w:sz w:val="22"/>
                <w:szCs w:val="22"/>
                <w:rtl w:val="0"/>
                <w:lang w:val="en"/>
              </w:rPr>
              <w:t>Svetlana Nikolaevna Kovaleva</w:t>
            </w:r>
          </w:p>
        </w:tc>
        <w:tc>
          <w:tcPr>
            <w:tcW w:w="2977" w:type="dxa"/>
            <w:vAlign w:val="center"/>
          </w:tcPr>
          <w:p w:rsidR="003B2E33" w:rsidRPr="0073181B" w:rsidP="000C1D9C">
            <w:pPr>
              <w:bidi w:val="0"/>
              <w:jc w:val="center"/>
              <w:rPr>
                <w:sz w:val="22"/>
                <w:szCs w:val="22"/>
              </w:rPr>
            </w:pPr>
            <w:r w:rsidRPr="0073181B">
              <w:rPr>
                <w:sz w:val="22"/>
                <w:szCs w:val="22"/>
                <w:rtl w:val="0"/>
                <w:lang w:val="en"/>
              </w:rPr>
              <w:t>Internal Audit Director - Head of the Internal Audit Department, PJSC Rosseti</w:t>
            </w:r>
          </w:p>
        </w:tc>
        <w:tc>
          <w:tcPr>
            <w:tcW w:w="2410" w:type="dxa"/>
            <w:vAlign w:val="center"/>
          </w:tcPr>
          <w:p w:rsidR="003B2E33" w:rsidRPr="0073181B" w:rsidP="000C1D9C">
            <w:pPr>
              <w:bidi w:val="0"/>
              <w:jc w:val="center"/>
              <w:rPr>
                <w:sz w:val="22"/>
                <w:szCs w:val="22"/>
              </w:rPr>
            </w:pPr>
            <w:r w:rsidRPr="0073181B">
              <w:rPr>
                <w:sz w:val="22"/>
                <w:szCs w:val="22"/>
                <w:rtl w:val="0"/>
                <w:lang w:val="en"/>
              </w:rPr>
              <w:t>PJSC Rosseti</w:t>
            </w:r>
          </w:p>
        </w:tc>
        <w:tc>
          <w:tcPr>
            <w:tcW w:w="1559" w:type="dxa"/>
            <w:vAlign w:val="center"/>
          </w:tcPr>
          <w:p w:rsidR="003B2E33" w:rsidRPr="0073181B" w:rsidP="000C1D9C">
            <w:pPr>
              <w:bidi w:val="0"/>
              <w:jc w:val="center"/>
              <w:rPr>
                <w:sz w:val="22"/>
                <w:szCs w:val="22"/>
              </w:rPr>
            </w:pPr>
            <w:r w:rsidRPr="0073181B">
              <w:rPr>
                <w:sz w:val="22"/>
                <w:szCs w:val="22"/>
                <w:rtl w:val="0"/>
                <w:lang w:val="en"/>
              </w:rPr>
              <w:t>84.12</w:t>
            </w:r>
          </w:p>
        </w:tc>
      </w:tr>
      <w:tr w:rsidTr="000C1D9C">
        <w:tblPrEx>
          <w:tblW w:w="9781" w:type="dxa"/>
          <w:tblInd w:w="-5" w:type="dxa"/>
          <w:tblLayout w:type="fixed"/>
          <w:tblLook w:val="0000"/>
        </w:tblPrEx>
        <w:trPr>
          <w:trHeight w:val="372"/>
        </w:trPr>
        <w:tc>
          <w:tcPr>
            <w:tcW w:w="567" w:type="dxa"/>
            <w:vAlign w:val="center"/>
          </w:tcPr>
          <w:p w:rsidR="003B2E33" w:rsidRPr="0073181B" w:rsidP="003B2E33">
            <w:pPr>
              <w:numPr>
                <w:ilvl w:val="0"/>
                <w:numId w:val="31"/>
              </w:numPr>
              <w:ind w:left="0" w:firstLine="0"/>
              <w:jc w:val="center"/>
              <w:rPr>
                <w:bCs/>
                <w:sz w:val="22"/>
                <w:szCs w:val="22"/>
              </w:rPr>
            </w:pPr>
          </w:p>
          <w:p w:rsidR="003B2E33" w:rsidRPr="0073181B" w:rsidP="000C1D9C">
            <w:pPr>
              <w:jc w:val="center"/>
              <w:rPr>
                <w:bCs/>
                <w:sz w:val="22"/>
                <w:szCs w:val="22"/>
              </w:rPr>
            </w:pPr>
          </w:p>
        </w:tc>
        <w:tc>
          <w:tcPr>
            <w:tcW w:w="2268" w:type="dxa"/>
            <w:vAlign w:val="center"/>
          </w:tcPr>
          <w:p w:rsidR="003B2E33" w:rsidRPr="0073181B" w:rsidP="000C1D9C">
            <w:pPr>
              <w:bidi w:val="0"/>
              <w:jc w:val="center"/>
              <w:rPr>
                <w:sz w:val="22"/>
                <w:szCs w:val="22"/>
              </w:rPr>
            </w:pPr>
            <w:r w:rsidRPr="0073181B">
              <w:rPr>
                <w:sz w:val="22"/>
                <w:szCs w:val="22"/>
                <w:rtl w:val="0"/>
                <w:lang w:val="en"/>
              </w:rPr>
              <w:t>Viktor Vladimirovich Tsarkov</w:t>
            </w:r>
          </w:p>
        </w:tc>
        <w:tc>
          <w:tcPr>
            <w:tcW w:w="2977" w:type="dxa"/>
            <w:vAlign w:val="center"/>
          </w:tcPr>
          <w:p w:rsidR="003B2E33" w:rsidRPr="0073181B" w:rsidP="000C1D9C">
            <w:pPr>
              <w:bidi w:val="0"/>
              <w:jc w:val="center"/>
              <w:rPr>
                <w:sz w:val="22"/>
                <w:szCs w:val="22"/>
              </w:rPr>
            </w:pPr>
            <w:r w:rsidRPr="0073181B">
              <w:rPr>
                <w:sz w:val="22"/>
                <w:szCs w:val="22"/>
                <w:rtl w:val="0"/>
                <w:lang w:val="en"/>
              </w:rPr>
              <w:t>First Deputy Chief of the Internal Audit Department, PJSC Rosseti</w:t>
            </w:r>
          </w:p>
        </w:tc>
        <w:tc>
          <w:tcPr>
            <w:tcW w:w="2410" w:type="dxa"/>
            <w:vAlign w:val="center"/>
          </w:tcPr>
          <w:p w:rsidR="003B2E33" w:rsidRPr="0073181B" w:rsidP="000C1D9C">
            <w:pPr>
              <w:bidi w:val="0"/>
              <w:jc w:val="center"/>
              <w:rPr>
                <w:sz w:val="22"/>
                <w:szCs w:val="22"/>
              </w:rPr>
            </w:pPr>
            <w:r w:rsidRPr="0073181B">
              <w:rPr>
                <w:sz w:val="22"/>
                <w:szCs w:val="22"/>
                <w:rtl w:val="0"/>
                <w:lang w:val="en"/>
              </w:rPr>
              <w:t>PJSC Rosseti</w:t>
            </w:r>
          </w:p>
        </w:tc>
        <w:tc>
          <w:tcPr>
            <w:tcW w:w="1559" w:type="dxa"/>
            <w:vAlign w:val="center"/>
          </w:tcPr>
          <w:p w:rsidR="003B2E33" w:rsidRPr="0073181B" w:rsidP="000C1D9C">
            <w:pPr>
              <w:bidi w:val="0"/>
              <w:jc w:val="center"/>
              <w:rPr>
                <w:sz w:val="22"/>
                <w:szCs w:val="22"/>
              </w:rPr>
            </w:pPr>
            <w:r w:rsidRPr="0073181B">
              <w:rPr>
                <w:sz w:val="22"/>
                <w:szCs w:val="22"/>
                <w:rtl w:val="0"/>
                <w:lang w:val="en"/>
              </w:rPr>
              <w:t>84.12</w:t>
            </w:r>
          </w:p>
        </w:tc>
      </w:tr>
      <w:tr w:rsidTr="000C1D9C">
        <w:tblPrEx>
          <w:tblW w:w="9781" w:type="dxa"/>
          <w:tblInd w:w="-5" w:type="dxa"/>
          <w:tblLayout w:type="fixed"/>
          <w:tblLook w:val="0000"/>
        </w:tblPrEx>
        <w:tc>
          <w:tcPr>
            <w:tcW w:w="567" w:type="dxa"/>
            <w:vAlign w:val="center"/>
          </w:tcPr>
          <w:p w:rsidR="003B2E33" w:rsidRPr="0073181B" w:rsidP="003B2E33">
            <w:pPr>
              <w:numPr>
                <w:ilvl w:val="0"/>
                <w:numId w:val="31"/>
              </w:numPr>
              <w:ind w:left="0" w:firstLine="0"/>
              <w:jc w:val="center"/>
              <w:rPr>
                <w:bCs/>
                <w:sz w:val="22"/>
                <w:szCs w:val="22"/>
              </w:rPr>
            </w:pPr>
          </w:p>
          <w:p w:rsidR="003B2E33" w:rsidRPr="0073181B" w:rsidP="000C1D9C">
            <w:pPr>
              <w:jc w:val="center"/>
              <w:rPr>
                <w:bCs/>
                <w:sz w:val="22"/>
                <w:szCs w:val="22"/>
              </w:rPr>
            </w:pPr>
          </w:p>
        </w:tc>
        <w:tc>
          <w:tcPr>
            <w:tcW w:w="2268" w:type="dxa"/>
            <w:vAlign w:val="center"/>
          </w:tcPr>
          <w:p w:rsidR="003B2E33" w:rsidRPr="0073181B" w:rsidP="000C1D9C">
            <w:pPr>
              <w:bidi w:val="0"/>
              <w:jc w:val="center"/>
              <w:rPr>
                <w:sz w:val="22"/>
                <w:szCs w:val="22"/>
              </w:rPr>
            </w:pPr>
            <w:r w:rsidRPr="0073181B">
              <w:rPr>
                <w:sz w:val="22"/>
                <w:szCs w:val="22"/>
                <w:rtl w:val="0"/>
                <w:lang w:val="en"/>
              </w:rPr>
              <w:t>Svetlana Mikhailovna Trishina</w:t>
            </w:r>
          </w:p>
        </w:tc>
        <w:tc>
          <w:tcPr>
            <w:tcW w:w="2977" w:type="dxa"/>
            <w:vAlign w:val="center"/>
          </w:tcPr>
          <w:p w:rsidR="003B2E33" w:rsidRPr="0073181B" w:rsidP="000C1D9C">
            <w:pPr>
              <w:bidi w:val="0"/>
              <w:jc w:val="center"/>
              <w:rPr>
                <w:sz w:val="22"/>
                <w:szCs w:val="22"/>
              </w:rPr>
            </w:pPr>
            <w:r w:rsidRPr="0073181B">
              <w:rPr>
                <w:sz w:val="22"/>
                <w:szCs w:val="22"/>
                <w:rtl w:val="0"/>
                <w:lang w:val="en"/>
              </w:rPr>
              <w:t>Deputy Head of the Internal Audit Department - Head of the Corporate Audit and Control Directorate of the Subsidiary office of the Internal Audit Department, PJSC Rosseti</w:t>
            </w:r>
          </w:p>
        </w:tc>
        <w:tc>
          <w:tcPr>
            <w:tcW w:w="2410" w:type="dxa"/>
            <w:vAlign w:val="center"/>
          </w:tcPr>
          <w:p w:rsidR="003B2E33" w:rsidRPr="0073181B" w:rsidP="000C1D9C">
            <w:pPr>
              <w:bidi w:val="0"/>
              <w:jc w:val="center"/>
              <w:rPr>
                <w:sz w:val="22"/>
                <w:szCs w:val="22"/>
              </w:rPr>
            </w:pPr>
            <w:r w:rsidRPr="0073181B">
              <w:rPr>
                <w:sz w:val="22"/>
                <w:szCs w:val="22"/>
                <w:rtl w:val="0"/>
                <w:lang w:val="en"/>
              </w:rPr>
              <w:t>PJSC Rosseti</w:t>
            </w:r>
          </w:p>
        </w:tc>
        <w:tc>
          <w:tcPr>
            <w:tcW w:w="1559" w:type="dxa"/>
            <w:vAlign w:val="center"/>
          </w:tcPr>
          <w:p w:rsidR="003B2E33" w:rsidRPr="0073181B" w:rsidP="000C1D9C">
            <w:pPr>
              <w:bidi w:val="0"/>
              <w:jc w:val="center"/>
              <w:rPr>
                <w:sz w:val="22"/>
                <w:szCs w:val="22"/>
              </w:rPr>
            </w:pPr>
            <w:r w:rsidRPr="0073181B">
              <w:rPr>
                <w:sz w:val="22"/>
                <w:szCs w:val="22"/>
                <w:rtl w:val="0"/>
                <w:lang w:val="en"/>
              </w:rPr>
              <w:t>84.12</w:t>
            </w:r>
          </w:p>
        </w:tc>
      </w:tr>
      <w:tr w:rsidTr="000C1D9C">
        <w:tblPrEx>
          <w:tblW w:w="9781" w:type="dxa"/>
          <w:tblInd w:w="-5" w:type="dxa"/>
          <w:tblLayout w:type="fixed"/>
          <w:tblLook w:val="0000"/>
        </w:tblPrEx>
        <w:tc>
          <w:tcPr>
            <w:tcW w:w="567" w:type="dxa"/>
            <w:vAlign w:val="center"/>
          </w:tcPr>
          <w:p w:rsidR="003B2E33" w:rsidRPr="0073181B" w:rsidP="003B2E33">
            <w:pPr>
              <w:numPr>
                <w:ilvl w:val="0"/>
                <w:numId w:val="31"/>
              </w:numPr>
              <w:ind w:left="0" w:firstLine="0"/>
              <w:jc w:val="center"/>
              <w:rPr>
                <w:bCs/>
                <w:sz w:val="22"/>
                <w:szCs w:val="22"/>
              </w:rPr>
            </w:pPr>
          </w:p>
          <w:p w:rsidR="003B2E33" w:rsidRPr="0073181B" w:rsidP="000C1D9C">
            <w:pPr>
              <w:jc w:val="center"/>
              <w:rPr>
                <w:bCs/>
                <w:sz w:val="22"/>
                <w:szCs w:val="22"/>
              </w:rPr>
            </w:pPr>
          </w:p>
        </w:tc>
        <w:tc>
          <w:tcPr>
            <w:tcW w:w="2268" w:type="dxa"/>
            <w:vAlign w:val="center"/>
          </w:tcPr>
          <w:p w:rsidR="003B2E33" w:rsidRPr="0073181B" w:rsidP="000C1D9C">
            <w:pPr>
              <w:bidi w:val="0"/>
              <w:jc w:val="center"/>
              <w:rPr>
                <w:sz w:val="22"/>
                <w:szCs w:val="22"/>
              </w:rPr>
            </w:pPr>
            <w:r w:rsidRPr="0073181B">
              <w:rPr>
                <w:sz w:val="22"/>
                <w:szCs w:val="22"/>
                <w:rtl w:val="0"/>
                <w:lang w:val="en"/>
              </w:rPr>
              <w:t>Ekaterina Viktorovna Mamusova</w:t>
            </w:r>
          </w:p>
        </w:tc>
        <w:tc>
          <w:tcPr>
            <w:tcW w:w="2977" w:type="dxa"/>
            <w:vAlign w:val="center"/>
          </w:tcPr>
          <w:p w:rsidR="003B2E33" w:rsidRPr="0073181B" w:rsidP="000C1D9C">
            <w:pPr>
              <w:bidi w:val="0"/>
              <w:jc w:val="center"/>
              <w:rPr>
                <w:sz w:val="22"/>
                <w:szCs w:val="22"/>
              </w:rPr>
            </w:pPr>
            <w:r w:rsidRPr="0073181B">
              <w:rPr>
                <w:sz w:val="22"/>
                <w:szCs w:val="22"/>
                <w:rtl w:val="0"/>
                <w:lang w:val="en"/>
              </w:rPr>
              <w:t>Chief Expert of the Methodology and Reporting Service of the Internal Audit Department, PJSC Rosseti</w:t>
            </w:r>
          </w:p>
        </w:tc>
        <w:tc>
          <w:tcPr>
            <w:tcW w:w="2410" w:type="dxa"/>
            <w:vAlign w:val="center"/>
          </w:tcPr>
          <w:p w:rsidR="003B2E33" w:rsidRPr="0073181B" w:rsidP="000C1D9C">
            <w:pPr>
              <w:bidi w:val="0"/>
              <w:jc w:val="center"/>
              <w:rPr>
                <w:sz w:val="22"/>
                <w:szCs w:val="22"/>
              </w:rPr>
            </w:pPr>
            <w:r w:rsidRPr="0073181B">
              <w:rPr>
                <w:sz w:val="22"/>
                <w:szCs w:val="22"/>
                <w:rtl w:val="0"/>
                <w:lang w:val="en"/>
              </w:rPr>
              <w:t>PJSC Rosseti</w:t>
            </w:r>
          </w:p>
        </w:tc>
        <w:tc>
          <w:tcPr>
            <w:tcW w:w="1559" w:type="dxa"/>
            <w:vAlign w:val="center"/>
          </w:tcPr>
          <w:p w:rsidR="003B2E33" w:rsidRPr="0073181B" w:rsidP="000C1D9C">
            <w:pPr>
              <w:bidi w:val="0"/>
              <w:jc w:val="center"/>
              <w:rPr>
                <w:sz w:val="22"/>
                <w:szCs w:val="22"/>
              </w:rPr>
            </w:pPr>
            <w:r w:rsidRPr="0073181B">
              <w:rPr>
                <w:sz w:val="22"/>
                <w:szCs w:val="22"/>
                <w:rtl w:val="0"/>
                <w:lang w:val="en"/>
              </w:rPr>
              <w:t>84.12</w:t>
            </w:r>
          </w:p>
        </w:tc>
      </w:tr>
      <w:tr w:rsidTr="000C1D9C">
        <w:tblPrEx>
          <w:tblW w:w="9781" w:type="dxa"/>
          <w:tblInd w:w="-5" w:type="dxa"/>
          <w:tblLayout w:type="fixed"/>
          <w:tblLook w:val="0000"/>
        </w:tblPrEx>
        <w:trPr>
          <w:trHeight w:val="1233"/>
        </w:trPr>
        <w:tc>
          <w:tcPr>
            <w:tcW w:w="567" w:type="dxa"/>
            <w:vAlign w:val="center"/>
          </w:tcPr>
          <w:p w:rsidR="003B2E33" w:rsidRPr="0073181B" w:rsidP="003B2E33">
            <w:pPr>
              <w:numPr>
                <w:ilvl w:val="0"/>
                <w:numId w:val="31"/>
              </w:numPr>
              <w:ind w:left="0" w:firstLine="0"/>
              <w:jc w:val="center"/>
              <w:rPr>
                <w:bCs/>
                <w:sz w:val="22"/>
                <w:szCs w:val="22"/>
              </w:rPr>
            </w:pPr>
          </w:p>
          <w:p w:rsidR="003B2E33" w:rsidRPr="0073181B" w:rsidP="000C1D9C">
            <w:pPr>
              <w:jc w:val="center"/>
              <w:rPr>
                <w:bCs/>
                <w:sz w:val="22"/>
                <w:szCs w:val="22"/>
              </w:rPr>
            </w:pPr>
          </w:p>
        </w:tc>
        <w:tc>
          <w:tcPr>
            <w:tcW w:w="2268" w:type="dxa"/>
            <w:vAlign w:val="center"/>
          </w:tcPr>
          <w:p w:rsidR="003B2E33" w:rsidRPr="0073181B" w:rsidP="000C1D9C">
            <w:pPr>
              <w:bidi w:val="0"/>
              <w:jc w:val="center"/>
              <w:rPr>
                <w:sz w:val="22"/>
                <w:szCs w:val="22"/>
              </w:rPr>
            </w:pPr>
            <w:r w:rsidRPr="0073181B">
              <w:rPr>
                <w:sz w:val="22"/>
                <w:szCs w:val="22"/>
                <w:rtl w:val="0"/>
                <w:lang w:val="en"/>
              </w:rPr>
              <w:t>Andrey Ivanovich Yudin</w:t>
            </w:r>
          </w:p>
        </w:tc>
        <w:tc>
          <w:tcPr>
            <w:tcW w:w="2977" w:type="dxa"/>
            <w:vAlign w:val="center"/>
          </w:tcPr>
          <w:p w:rsidR="003B2E33" w:rsidRPr="0073181B" w:rsidP="000C1D9C">
            <w:pPr>
              <w:bidi w:val="0"/>
              <w:jc w:val="center"/>
              <w:rPr>
                <w:sz w:val="22"/>
                <w:szCs w:val="22"/>
              </w:rPr>
            </w:pPr>
            <w:r w:rsidRPr="0073181B">
              <w:rPr>
                <w:sz w:val="22"/>
                <w:szCs w:val="22"/>
                <w:rtl w:val="0"/>
                <w:lang w:val="en"/>
              </w:rPr>
              <w:t>Chief Expert of the Methodology and Reporting Service of the Internal Audit Department, PJSC Rosseti</w:t>
            </w:r>
          </w:p>
        </w:tc>
        <w:tc>
          <w:tcPr>
            <w:tcW w:w="2410" w:type="dxa"/>
            <w:vAlign w:val="center"/>
          </w:tcPr>
          <w:p w:rsidR="003B2E33" w:rsidRPr="0073181B" w:rsidP="000C1D9C">
            <w:pPr>
              <w:bidi w:val="0"/>
              <w:jc w:val="center"/>
              <w:rPr>
                <w:sz w:val="22"/>
                <w:szCs w:val="22"/>
              </w:rPr>
            </w:pPr>
            <w:r w:rsidRPr="0073181B">
              <w:rPr>
                <w:sz w:val="22"/>
                <w:szCs w:val="22"/>
                <w:rtl w:val="0"/>
                <w:lang w:val="en"/>
              </w:rPr>
              <w:t>PJSC Rosseti</w:t>
            </w:r>
          </w:p>
        </w:tc>
        <w:tc>
          <w:tcPr>
            <w:tcW w:w="1559" w:type="dxa"/>
            <w:vAlign w:val="center"/>
          </w:tcPr>
          <w:p w:rsidR="003B2E33" w:rsidRPr="0073181B" w:rsidP="000C1D9C">
            <w:pPr>
              <w:bidi w:val="0"/>
              <w:jc w:val="center"/>
              <w:rPr>
                <w:sz w:val="22"/>
                <w:szCs w:val="22"/>
              </w:rPr>
            </w:pPr>
            <w:r w:rsidRPr="0073181B">
              <w:rPr>
                <w:sz w:val="22"/>
                <w:szCs w:val="22"/>
                <w:rtl w:val="0"/>
                <w:lang w:val="en"/>
              </w:rPr>
              <w:t>84.12</w:t>
            </w:r>
          </w:p>
        </w:tc>
      </w:tr>
    </w:tbl>
    <w:p w:rsidR="00201307" w:rsidP="003B2E33">
      <w:pPr>
        <w:tabs>
          <w:tab w:val="left" w:pos="10260"/>
        </w:tabs>
        <w:jc w:val="both"/>
      </w:pP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CF51E0"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01" w:type="pct"/>
          </w:tcPr>
          <w:p w:rsidR="007E2D55" w:rsidRPr="00CF51E0" w:rsidP="002A18DC">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7E2D55" w:rsidRPr="00CF51E0" w:rsidP="007E2D55">
            <w:pPr>
              <w:pStyle w:val="BodyText"/>
              <w:widowControl w:val="0"/>
              <w:bidi w:val="0"/>
              <w:ind w:right="-90"/>
              <w:jc w:val="both"/>
              <w:rPr>
                <w:sz w:val="24"/>
                <w:szCs w:val="24"/>
              </w:rPr>
            </w:pPr>
            <w:r w:rsidRPr="00CF51E0">
              <w:rPr>
                <w:sz w:val="24"/>
                <w:szCs w:val="24"/>
                <w:rtl w:val="0"/>
                <w:lang w:val="en"/>
              </w:rPr>
              <w:t>L.V. Selivanova</w:t>
            </w:r>
          </w:p>
        </w:tc>
        <w:tc>
          <w:tcPr>
            <w:tcW w:w="150"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73" w:type="pct"/>
          </w:tcPr>
          <w:p w:rsidR="007E2D55" w:rsidRPr="00CF51E0" w:rsidP="007E2D5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CF51E0" w:rsidP="000F5F95">
            <w:pPr>
              <w:pStyle w:val="BodyText"/>
              <w:widowControl w:val="0"/>
              <w:bidi w:val="0"/>
              <w:ind w:right="-90"/>
              <w:jc w:val="both"/>
              <w:rPr>
                <w:sz w:val="24"/>
                <w:szCs w:val="24"/>
              </w:rPr>
            </w:pPr>
            <w:r w:rsidRPr="00CF51E0">
              <w:rPr>
                <w:sz w:val="24"/>
                <w:szCs w:val="24"/>
                <w:rtl w:val="0"/>
                <w:lang w:val="en"/>
              </w:rPr>
              <w:t>V.A. Kapitonov</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A.Yu. Perets</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0F5F95" w:rsidRPr="00CF51E0" w:rsidP="000F5F95">
            <w:pPr>
              <w:pStyle w:val="BodyText"/>
              <w:widowControl w:val="0"/>
              <w:bidi w:val="0"/>
              <w:ind w:right="-90"/>
              <w:jc w:val="both"/>
              <w:rPr>
                <w:sz w:val="24"/>
                <w:szCs w:val="24"/>
              </w:rPr>
            </w:pPr>
            <w:r w:rsidRPr="00CF51E0">
              <w:rPr>
                <w:sz w:val="24"/>
                <w:szCs w:val="24"/>
                <w:rtl w:val="0"/>
                <w:lang w:val="en"/>
              </w:rPr>
              <w:t>A.S. Kolyada</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M.V. Korotkova</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208"/>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A106FA" w:rsidRPr="00CF51E0" w:rsidP="000F5F95">
            <w:pPr>
              <w:pStyle w:val="BodyText"/>
              <w:widowControl w:val="0"/>
              <w:bidi w:val="0"/>
              <w:ind w:right="-90"/>
              <w:jc w:val="both"/>
              <w:rPr>
                <w:sz w:val="24"/>
                <w:szCs w:val="24"/>
              </w:rPr>
            </w:pPr>
            <w:r w:rsidRPr="00CF51E0">
              <w:rPr>
                <w:sz w:val="24"/>
                <w:szCs w:val="24"/>
                <w:rtl w:val="0"/>
                <w:lang w:val="en"/>
              </w:rPr>
              <w:t>B.B. Ebzeev</w:t>
            </w:r>
          </w:p>
        </w:tc>
        <w:tc>
          <w:tcPr>
            <w:tcW w:w="196" w:type="pct"/>
          </w:tcPr>
          <w:p w:rsidR="00A106FA"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A106FA"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106FA" w:rsidRPr="00CF51E0" w:rsidP="000F5F95">
            <w:pPr>
              <w:pStyle w:val="BodyText"/>
              <w:widowControl w:val="0"/>
              <w:ind w:right="-90"/>
              <w:jc w:val="both"/>
              <w:rPr>
                <w:sz w:val="24"/>
                <w:szCs w:val="24"/>
              </w:rPr>
            </w:pPr>
          </w:p>
        </w:tc>
        <w:tc>
          <w:tcPr>
            <w:tcW w:w="150" w:type="pct"/>
          </w:tcPr>
          <w:p w:rsidR="00A106FA" w:rsidRPr="00CF51E0" w:rsidP="000F5F95">
            <w:pPr>
              <w:pStyle w:val="BodyText"/>
              <w:widowControl w:val="0"/>
              <w:jc w:val="both"/>
              <w:rPr>
                <w:b/>
                <w:bCs/>
                <w:sz w:val="24"/>
                <w:szCs w:val="24"/>
              </w:rPr>
            </w:pPr>
          </w:p>
        </w:tc>
        <w:tc>
          <w:tcPr>
            <w:tcW w:w="1273" w:type="pct"/>
          </w:tcPr>
          <w:p w:rsidR="00A106FA" w:rsidRPr="00CF51E0" w:rsidP="000F5F95">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885CFE" w:rsidRPr="00CF51E0" w:rsidP="006D2CDB">
      <w:pPr>
        <w:pStyle w:val="BodyText"/>
        <w:widowControl w:val="0"/>
        <w:tabs>
          <w:tab w:val="num" w:pos="-1440"/>
          <w:tab w:val="left" w:pos="1080"/>
        </w:tabs>
        <w:ind w:left="-105"/>
        <w:jc w:val="both"/>
        <w:rPr>
          <w:b/>
          <w:sz w:val="24"/>
          <w:szCs w:val="24"/>
        </w:rPr>
      </w:pPr>
    </w:p>
    <w:p w:rsidR="00201307" w:rsidRPr="00CF51E0" w:rsidP="00201307">
      <w:pPr>
        <w:pStyle w:val="BodyTextIndent2"/>
        <w:tabs>
          <w:tab w:val="left" w:pos="709"/>
        </w:tabs>
        <w:bidi w:val="0"/>
        <w:spacing w:after="0" w:line="240" w:lineRule="auto"/>
        <w:ind w:left="0"/>
        <w:jc w:val="both"/>
        <w:rPr>
          <w:b/>
        </w:rPr>
      </w:pPr>
      <w:r w:rsidRPr="00CF51E0">
        <w:rPr>
          <w:b/>
          <w:caps/>
          <w:rtl w:val="0"/>
          <w:lang w:val="en"/>
        </w:rPr>
        <w:t>Item No. 2:</w:t>
      </w:r>
      <w:r w:rsidRPr="0087043D" w:rsidR="00927AF4">
        <w:rPr>
          <w:b/>
          <w:bCs/>
          <w:rtl w:val="0"/>
          <w:lang w:val="en"/>
        </w:rPr>
        <w:t xml:space="preserve"> "On determining the date of the Company's Board of Directors' meeting to consider issues related to the preparation for the Annual General Meeting of the Company's Shareholder".</w:t>
      </w:r>
    </w:p>
    <w:p w:rsidR="00201307" w:rsidRPr="00CF51E0" w:rsidP="00201307">
      <w:pPr>
        <w:bidi w:val="0"/>
        <w:jc w:val="both"/>
        <w:rPr>
          <w:b/>
        </w:rPr>
      </w:pPr>
      <w:r w:rsidRPr="00CF51E0">
        <w:rPr>
          <w:b/>
          <w:rtl w:val="0"/>
          <w:lang w:val="en"/>
        </w:rPr>
        <w:t>RESOLUTION:</w:t>
      </w:r>
    </w:p>
    <w:p w:rsidR="00201307" w:rsidRPr="00CF51E0" w:rsidP="00201307">
      <w:pPr>
        <w:tabs>
          <w:tab w:val="left" w:pos="10260"/>
        </w:tabs>
        <w:suppressAutoHyphens/>
        <w:bidi w:val="0"/>
        <w:ind w:right="-1" w:firstLine="567"/>
        <w:jc w:val="both"/>
      </w:pPr>
      <w:r w:rsidRPr="0087043D">
        <w:rPr>
          <w:bCs/>
          <w:rtl w:val="0"/>
          <w:lang w:val="en"/>
        </w:rPr>
        <w:t>Determine the date of the meeting of the Company's Board of Directors held to consider issues related to preparation for the Annual General Meeting of the Company's Shareholders- no later than April 27, 2021.</w:t>
      </w:r>
    </w:p>
    <w:p w:rsidR="00E917B0" w:rsidRPr="00CF51E0" w:rsidP="00E917B0">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P.V. Grebtsov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K.A. Mikhailik</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208"/>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D.L. Guryanov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V.Yu. Zarkhin</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2A18D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L.V. Selivanova</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V.A. Kapitonov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D9439F" w:rsidRPr="00CF51E0" w:rsidP="00D9439F">
            <w:pPr>
              <w:pStyle w:val="BodyText"/>
              <w:widowControl w:val="0"/>
              <w:bidi w:val="0"/>
              <w:ind w:right="-90"/>
              <w:jc w:val="both"/>
              <w:rPr>
                <w:sz w:val="24"/>
                <w:szCs w:val="24"/>
              </w:rPr>
            </w:pPr>
            <w:r w:rsidRPr="00CF51E0">
              <w:rPr>
                <w:sz w:val="24"/>
                <w:szCs w:val="24"/>
                <w:rtl w:val="0"/>
                <w:lang w:val="en"/>
              </w:rPr>
              <w:t>A.S. Kolyada</w:t>
            </w:r>
          </w:p>
        </w:tc>
        <w:tc>
          <w:tcPr>
            <w:tcW w:w="196"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01" w:type="pct"/>
          </w:tcPr>
          <w:p w:rsidR="00D9439F" w:rsidRPr="00CF51E0" w:rsidP="00D9439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9439F" w:rsidRPr="00CF51E0" w:rsidP="00D9439F">
            <w:pPr>
              <w:pStyle w:val="BodyText"/>
              <w:widowControl w:val="0"/>
              <w:bidi w:val="0"/>
              <w:ind w:right="-90"/>
              <w:jc w:val="both"/>
              <w:rPr>
                <w:sz w:val="24"/>
                <w:szCs w:val="24"/>
              </w:rPr>
            </w:pPr>
            <w:r w:rsidRPr="00CF51E0">
              <w:rPr>
                <w:sz w:val="24"/>
                <w:szCs w:val="24"/>
                <w:rtl w:val="0"/>
                <w:lang w:val="en"/>
              </w:rPr>
              <w:t>M.V. Korotkova</w:t>
            </w:r>
          </w:p>
        </w:tc>
        <w:tc>
          <w:tcPr>
            <w:tcW w:w="150"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73" w:type="pct"/>
          </w:tcPr>
          <w:p w:rsidR="00D9439F" w:rsidRPr="00CF51E0" w:rsidP="00D9439F">
            <w:pPr>
              <w:pStyle w:val="BodyText"/>
              <w:widowControl w:val="0"/>
              <w:bidi w:val="0"/>
              <w:ind w:right="-208"/>
              <w:jc w:val="both"/>
              <w:rPr>
                <w:b/>
                <w:bCs/>
                <w:sz w:val="24"/>
                <w:szCs w:val="24"/>
              </w:rPr>
            </w:pPr>
            <w:r w:rsidRPr="00CF51E0">
              <w:rPr>
                <w:b/>
                <w:bCs/>
                <w:sz w:val="24"/>
                <w:szCs w:val="24"/>
                <w:rtl w:val="0"/>
                <w:lang w:val="en"/>
              </w:rPr>
              <w:t>"FOR"</w:t>
            </w:r>
          </w:p>
        </w:tc>
      </w:tr>
      <w:tr w:rsidTr="008E66BE">
        <w:tblPrEx>
          <w:tblW w:w="5133" w:type="pct"/>
          <w:tblInd w:w="-142" w:type="dxa"/>
          <w:tblLayout w:type="fixed"/>
          <w:tblLook w:val="0000"/>
        </w:tblPrEx>
        <w:tc>
          <w:tcPr>
            <w:tcW w:w="1134" w:type="pct"/>
          </w:tcPr>
          <w:p w:rsidR="00857F4A" w:rsidRPr="00CF51E0" w:rsidP="008E66BE">
            <w:pPr>
              <w:pStyle w:val="BodyText"/>
              <w:widowControl w:val="0"/>
              <w:bidi w:val="0"/>
              <w:ind w:right="-90"/>
              <w:jc w:val="both"/>
              <w:rPr>
                <w:sz w:val="24"/>
                <w:szCs w:val="24"/>
              </w:rPr>
            </w:pPr>
            <w:r w:rsidRPr="00CF51E0">
              <w:rPr>
                <w:sz w:val="24"/>
                <w:szCs w:val="24"/>
                <w:rtl w:val="0"/>
                <w:lang w:val="en"/>
              </w:rPr>
              <w:t>A.Yu. Perets</w:t>
            </w:r>
          </w:p>
        </w:tc>
        <w:tc>
          <w:tcPr>
            <w:tcW w:w="196" w:type="pct"/>
          </w:tcPr>
          <w:p w:rsidR="00857F4A" w:rsidRPr="00CF51E0" w:rsidP="008E66BE">
            <w:pPr>
              <w:pStyle w:val="BodyText"/>
              <w:widowControl w:val="0"/>
              <w:bidi w:val="0"/>
              <w:jc w:val="both"/>
              <w:rPr>
                <w:b/>
                <w:bCs/>
                <w:sz w:val="24"/>
                <w:szCs w:val="24"/>
              </w:rPr>
            </w:pPr>
            <w:r w:rsidRPr="00CF51E0">
              <w:rPr>
                <w:b/>
                <w:bCs/>
                <w:sz w:val="24"/>
                <w:szCs w:val="24"/>
                <w:rtl w:val="0"/>
                <w:lang w:val="en"/>
              </w:rPr>
              <w:t>-</w:t>
            </w:r>
          </w:p>
        </w:tc>
        <w:tc>
          <w:tcPr>
            <w:tcW w:w="1201" w:type="pct"/>
          </w:tcPr>
          <w:p w:rsidR="00857F4A" w:rsidRPr="00CF51E0" w:rsidP="008E66BE">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857F4A" w:rsidRPr="00CF51E0" w:rsidP="008E66BE">
            <w:pPr>
              <w:pStyle w:val="BodyText"/>
              <w:widowControl w:val="0"/>
              <w:ind w:right="-90"/>
              <w:jc w:val="both"/>
              <w:rPr>
                <w:sz w:val="24"/>
                <w:szCs w:val="24"/>
              </w:rPr>
            </w:pPr>
          </w:p>
        </w:tc>
        <w:tc>
          <w:tcPr>
            <w:tcW w:w="150" w:type="pct"/>
          </w:tcPr>
          <w:p w:rsidR="00857F4A" w:rsidRPr="00CF51E0" w:rsidP="008E66BE">
            <w:pPr>
              <w:pStyle w:val="BodyText"/>
              <w:widowControl w:val="0"/>
              <w:jc w:val="both"/>
              <w:rPr>
                <w:b/>
                <w:bCs/>
                <w:sz w:val="24"/>
                <w:szCs w:val="24"/>
              </w:rPr>
            </w:pPr>
          </w:p>
        </w:tc>
        <w:tc>
          <w:tcPr>
            <w:tcW w:w="1273" w:type="pct"/>
          </w:tcPr>
          <w:p w:rsidR="00857F4A" w:rsidRPr="00CF51E0" w:rsidP="008E66BE">
            <w:pPr>
              <w:pStyle w:val="BodyText"/>
              <w:widowControl w:val="0"/>
              <w:ind w:right="-208"/>
              <w:jc w:val="both"/>
              <w:rPr>
                <w:b/>
                <w:bCs/>
                <w:sz w:val="24"/>
                <w:szCs w:val="24"/>
              </w:rPr>
            </w:pPr>
          </w:p>
        </w:tc>
      </w:tr>
    </w:tbl>
    <w:p w:rsidR="00E917B0" w:rsidRPr="00CF51E0" w:rsidP="00E917B0">
      <w:pPr>
        <w:tabs>
          <w:tab w:val="left" w:pos="540"/>
          <w:tab w:val="left" w:pos="1134"/>
        </w:tabs>
        <w:bidi w:val="0"/>
        <w:jc w:val="both"/>
        <w:rPr>
          <w:b/>
        </w:rPr>
      </w:pPr>
      <w:r w:rsidRPr="00CF51E0">
        <w:rPr>
          <w:b/>
          <w:rtl w:val="0"/>
          <w:lang w:val="en"/>
        </w:rPr>
        <w:t>The resolution was adopted.</w:t>
      </w:r>
    </w:p>
    <w:p w:rsidR="002B03F5" w:rsidRPr="00CF51E0" w:rsidP="006D2CDB">
      <w:pPr>
        <w:pStyle w:val="BodyText"/>
        <w:widowControl w:val="0"/>
        <w:tabs>
          <w:tab w:val="num" w:pos="-1440"/>
          <w:tab w:val="left" w:pos="1080"/>
        </w:tabs>
        <w:ind w:left="-105"/>
        <w:jc w:val="both"/>
        <w:rPr>
          <w:b/>
          <w:sz w:val="24"/>
          <w:szCs w:val="24"/>
        </w:rPr>
      </w:pPr>
    </w:p>
    <w:p w:rsidR="00BD7E23" w:rsidRPr="00AA4734"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44075A" w:rsidRPr="00AA4734" w:rsidP="006E7BF1">
            <w:pPr>
              <w:pStyle w:val="BodyText"/>
              <w:widowControl w:val="0"/>
              <w:tabs>
                <w:tab w:val="num" w:pos="-1440"/>
                <w:tab w:val="left" w:pos="1080"/>
              </w:tabs>
              <w:ind w:left="-105"/>
              <w:rPr>
                <w:b/>
                <w:sz w:val="24"/>
                <w:szCs w:val="24"/>
              </w:rPr>
            </w:pPr>
          </w:p>
          <w:p w:rsidR="00885CFE" w:rsidRPr="00AA4734"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885CFE" w:rsidP="006E7BF1">
            <w:pPr>
              <w:pStyle w:val="BodyText"/>
              <w:widowControl w:val="0"/>
              <w:tabs>
                <w:tab w:val="num" w:pos="-1440"/>
                <w:tab w:val="left" w:pos="1080"/>
              </w:tabs>
              <w:rPr>
                <w:b/>
                <w:sz w:val="24"/>
                <w:szCs w:val="24"/>
              </w:rPr>
            </w:pPr>
          </w:p>
          <w:p w:rsidR="0044075A" w:rsidRPr="00AA4734"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FF0CAF">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7">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8">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5"/>
  </w:num>
  <w:num w:numId="4">
    <w:abstractNumId w:val="1"/>
  </w:num>
  <w:num w:numId="5">
    <w:abstractNumId w:val="16"/>
  </w:num>
  <w:num w:numId="6">
    <w:abstractNumId w:val="13"/>
  </w:num>
  <w:num w:numId="7">
    <w:abstractNumId w:val="7"/>
  </w:num>
  <w:num w:numId="8">
    <w:abstractNumId w:val="19"/>
  </w:num>
  <w:num w:numId="9">
    <w:abstractNumId w:val="14"/>
  </w:num>
  <w:num w:numId="10">
    <w:abstractNumId w:val="26"/>
  </w:num>
  <w:num w:numId="11">
    <w:abstractNumId w:val="11"/>
  </w:num>
  <w:num w:numId="12">
    <w:abstractNumId w:val="18"/>
  </w:num>
  <w:num w:numId="13">
    <w:abstractNumId w:val="17"/>
  </w:num>
  <w:num w:numId="14">
    <w:abstractNumId w:val="20"/>
  </w:num>
  <w:num w:numId="15">
    <w:abstractNumId w:val="10"/>
  </w:num>
  <w:num w:numId="16">
    <w:abstractNumId w:val="28"/>
  </w:num>
  <w:num w:numId="17">
    <w:abstractNumId w:val="3"/>
  </w:num>
  <w:num w:numId="18">
    <w:abstractNumId w:val="30"/>
  </w:num>
  <w:num w:numId="19">
    <w:abstractNumId w:val="5"/>
  </w:num>
  <w:num w:numId="20">
    <w:abstractNumId w:val="4"/>
  </w:num>
  <w:num w:numId="21">
    <w:abstractNumId w:val="8"/>
  </w:num>
  <w:num w:numId="22">
    <w:abstractNumId w:val="24"/>
  </w:num>
  <w:num w:numId="23">
    <w:abstractNumId w:val="12"/>
  </w:num>
  <w:num w:numId="24">
    <w:abstractNumId w:val="27"/>
  </w:num>
  <w:num w:numId="25">
    <w:abstractNumId w:val="9"/>
  </w:num>
  <w:num w:numId="26">
    <w:abstractNumId w:val="2"/>
  </w:num>
  <w:num w:numId="27">
    <w:abstractNumId w:val="29"/>
  </w:num>
  <w:num w:numId="28">
    <w:abstractNumId w:val="6"/>
  </w:num>
  <w:num w:numId="29">
    <w:abstractNumId w:val="21"/>
  </w:num>
  <w:num w:numId="30">
    <w:abstractNumId w:val="22"/>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1D9C"/>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8DC"/>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1B"/>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43D"/>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0CAF"/>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2FDF-EA2A-4C55-8EBA-81ED96BF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Pages>
  <Words>770</Words>
  <Characters>5222</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229</cp:revision>
  <cp:lastPrinted>2020-04-16T06:19:00Z</cp:lastPrinted>
  <dcterms:created xsi:type="dcterms:W3CDTF">2020-05-18T12:03:00Z</dcterms:created>
  <dcterms:modified xsi:type="dcterms:W3CDTF">2021-03-09T18:13:00Z</dcterms:modified>
</cp:coreProperties>
</file>